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42" w:rsidRDefault="004D2271">
      <w:pPr>
        <w:spacing w:line="446" w:lineRule="exact"/>
        <w:jc w:val="center"/>
      </w:pPr>
      <w:r>
        <w:rPr>
          <w:rFonts w:ascii="ＭＳ ゴシック" w:eastAsia="ＭＳ ゴシック" w:hAnsi="ＭＳ ゴシック" w:hint="eastAsia"/>
          <w:b/>
          <w:sz w:val="30"/>
        </w:rPr>
        <w:t>Ａ群溶血性レンサ球菌咽頭炎の流行について（警報）</w:t>
      </w:r>
    </w:p>
    <w:p w:rsidR="00274042" w:rsidRDefault="00274042"/>
    <w:p w:rsidR="00274042" w:rsidRDefault="004D2271">
      <w:pPr>
        <w:wordWrap w:val="0"/>
        <w:jc w:val="right"/>
        <w:rPr>
          <w:sz w:val="21"/>
        </w:rPr>
      </w:pPr>
      <w:r>
        <w:rPr>
          <w:rFonts w:hint="eastAsia"/>
          <w:sz w:val="21"/>
        </w:rPr>
        <w:t>令和６年２月８日（木）　１５時００分</w:t>
      </w:r>
    </w:p>
    <w:tbl>
      <w:tblPr>
        <w:tblW w:w="0" w:type="auto"/>
        <w:tblInd w:w="4231" w:type="dxa"/>
        <w:tblLayout w:type="fixed"/>
        <w:tblCellMar>
          <w:left w:w="0" w:type="dxa"/>
          <w:right w:w="0" w:type="dxa"/>
        </w:tblCellMar>
        <w:tblLook w:val="0000" w:firstRow="0" w:lastRow="0" w:firstColumn="0" w:lastColumn="0" w:noHBand="0" w:noVBand="0"/>
      </w:tblPr>
      <w:tblGrid>
        <w:gridCol w:w="5368"/>
      </w:tblGrid>
      <w:tr w:rsidR="00274042">
        <w:tc>
          <w:tcPr>
            <w:tcW w:w="5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rPr>
                <w:sz w:val="21"/>
              </w:rPr>
            </w:pPr>
            <w:r>
              <w:rPr>
                <w:rFonts w:hint="eastAsia"/>
                <w:sz w:val="21"/>
              </w:rPr>
              <w:t xml:space="preserve"> </w:t>
            </w:r>
            <w:r>
              <w:rPr>
                <w:rFonts w:hint="eastAsia"/>
                <w:sz w:val="21"/>
              </w:rPr>
              <w:t>北海道苫小牧保健所</w:t>
            </w:r>
          </w:p>
          <w:p w:rsidR="00274042" w:rsidRDefault="004D2271">
            <w:pPr>
              <w:rPr>
                <w:sz w:val="21"/>
              </w:rPr>
            </w:pPr>
            <w:r>
              <w:rPr>
                <w:rFonts w:hint="eastAsia"/>
                <w:sz w:val="21"/>
              </w:rPr>
              <w:t>（北海道胆振総合振興局保健環境部苫小牧地域保健室）</w:t>
            </w:r>
          </w:p>
          <w:p w:rsidR="00274042" w:rsidRDefault="004D2271">
            <w:pPr>
              <w:rPr>
                <w:sz w:val="21"/>
              </w:rPr>
            </w:pPr>
            <w:r>
              <w:rPr>
                <w:rFonts w:hint="eastAsia"/>
                <w:sz w:val="21"/>
              </w:rPr>
              <w:t xml:space="preserve"> TEL 0144-77-</w:t>
            </w:r>
            <w:r>
              <w:rPr>
                <w:sz w:val="21"/>
              </w:rPr>
              <w:t>9941</w:t>
            </w:r>
            <w:bookmarkStart w:id="0" w:name="_GoBack"/>
            <w:bookmarkEnd w:id="0"/>
            <w:r>
              <w:rPr>
                <w:rFonts w:hint="eastAsia"/>
                <w:sz w:val="21"/>
              </w:rPr>
              <w:t xml:space="preserve">　</w:t>
            </w:r>
            <w:r>
              <w:rPr>
                <w:rFonts w:hint="eastAsia"/>
                <w:sz w:val="21"/>
              </w:rPr>
              <w:t>FAX 0144-34-4177</w:t>
            </w:r>
          </w:p>
        </w:tc>
      </w:tr>
    </w:tbl>
    <w:p w:rsidR="00274042" w:rsidRDefault="00274042">
      <w:pPr>
        <w:rPr>
          <w:sz w:val="21"/>
        </w:rPr>
      </w:pPr>
    </w:p>
    <w:p w:rsidR="00274042" w:rsidRDefault="004D2271">
      <w:pPr>
        <w:tabs>
          <w:tab w:val="left" w:pos="7329"/>
        </w:tabs>
        <w:rPr>
          <w:sz w:val="21"/>
        </w:rPr>
      </w:pPr>
      <w:r>
        <w:rPr>
          <w:rFonts w:hint="eastAsia"/>
          <w:sz w:val="21"/>
        </w:rPr>
        <w:t xml:space="preserve">　道では感染症の予防及び感染症の患者に対する医療に関する法律に基づき感染症発生動向調査を実施しておりますが、令和６年第５週（令和６年１月２９日～２月４日）において、苫小牧保健所管内の定点あたりのＡ群溶血性レンサ球菌咽頭炎患者報告数が、警報基準である８人以上となりましたので、まん延を防止するため警報を発令します。</w:t>
      </w:r>
    </w:p>
    <w:p w:rsidR="00274042" w:rsidRDefault="004D2271">
      <w:pPr>
        <w:rPr>
          <w:sz w:val="21"/>
        </w:rPr>
      </w:pPr>
      <w:r>
        <w:rPr>
          <w:rFonts w:hint="eastAsia"/>
          <w:sz w:val="21"/>
        </w:rPr>
        <w:t xml:space="preserve">　今後、苫小牧保健所管内において流行がさらに拡大する可能性がありますので、感染予防に努めるようお願いします。</w:t>
      </w:r>
    </w:p>
    <w:p w:rsidR="00274042" w:rsidRDefault="004D2271">
      <w:pPr>
        <w:jc w:val="center"/>
        <w:rPr>
          <w:sz w:val="21"/>
        </w:rPr>
      </w:pPr>
      <w:r>
        <w:rPr>
          <w:rFonts w:hint="eastAsia"/>
          <w:sz w:val="21"/>
        </w:rPr>
        <w:t>記</w:t>
      </w:r>
    </w:p>
    <w:p w:rsidR="00274042" w:rsidRDefault="004D2271">
      <w:pPr>
        <w:rPr>
          <w:sz w:val="21"/>
        </w:rPr>
      </w:pPr>
      <w:r>
        <w:rPr>
          <w:rFonts w:hint="eastAsia"/>
          <w:sz w:val="21"/>
        </w:rPr>
        <w:t>１　Ａ群溶血性レンサ球菌咽頭炎の感染予防</w:t>
      </w:r>
    </w:p>
    <w:p w:rsidR="00274042" w:rsidRDefault="004D2271">
      <w:pPr>
        <w:ind w:left="211" w:hangingChars="100" w:hanging="211"/>
        <w:rPr>
          <w:sz w:val="21"/>
        </w:rPr>
      </w:pPr>
      <w:r>
        <w:rPr>
          <w:rFonts w:hint="eastAsia"/>
          <w:sz w:val="21"/>
        </w:rPr>
        <w:t xml:space="preserve">　　Ａ群溶血性レンサ球菌咽頭炎の感染予防には手洗い・うがいが有効です。人との接触や飛沫で感染するため、集団感染への注意が必要です。</w:t>
      </w:r>
    </w:p>
    <w:p w:rsidR="00274042" w:rsidRDefault="004D2271">
      <w:pPr>
        <w:ind w:left="211" w:hangingChars="100" w:hanging="211"/>
        <w:rPr>
          <w:sz w:val="21"/>
        </w:rPr>
      </w:pPr>
      <w:r>
        <w:rPr>
          <w:rFonts w:hint="eastAsia"/>
          <w:sz w:val="21"/>
        </w:rPr>
        <w:t xml:space="preserve">　　なお、全道のＡ群溶血性レンサ球菌咽頭炎流行状況は、北海道感染症情報センターのホームページでご覧になれます。（</w:t>
      </w:r>
      <w:r>
        <w:rPr>
          <w:sz w:val="21"/>
        </w:rPr>
        <w:t>URL</w:t>
      </w:r>
      <w:r>
        <w:rPr>
          <w:sz w:val="21"/>
        </w:rPr>
        <w:t>：</w:t>
      </w:r>
      <w:r>
        <w:rPr>
          <w:sz w:val="21"/>
        </w:rPr>
        <w:t>http://www.iph.pref.hokkaido.jp/kansen/index.html</w:t>
      </w:r>
      <w:r>
        <w:rPr>
          <w:sz w:val="21"/>
        </w:rPr>
        <w:t>）</w:t>
      </w:r>
    </w:p>
    <w:p w:rsidR="00274042" w:rsidRDefault="00274042">
      <w:pPr>
        <w:rPr>
          <w:sz w:val="21"/>
        </w:rPr>
      </w:pPr>
    </w:p>
    <w:p w:rsidR="00274042" w:rsidRDefault="004D2271">
      <w:pPr>
        <w:rPr>
          <w:sz w:val="21"/>
        </w:rPr>
      </w:pPr>
      <w:r>
        <w:rPr>
          <w:rFonts w:hint="eastAsia"/>
          <w:sz w:val="21"/>
        </w:rPr>
        <w:t>２　Ａ群溶血性レンサ球菌咽頭炎とは</w:t>
      </w:r>
    </w:p>
    <w:p w:rsidR="00274042" w:rsidRDefault="004D2271">
      <w:pPr>
        <w:ind w:left="211" w:hangingChars="100" w:hanging="211"/>
        <w:rPr>
          <w:sz w:val="21"/>
        </w:rPr>
      </w:pPr>
      <w:r>
        <w:rPr>
          <w:rFonts w:hint="eastAsia"/>
          <w:sz w:val="21"/>
        </w:rPr>
        <w:t xml:space="preserve">　　Ａ群溶血性レンサ球菌咽頭炎とは、突然の発熱、咽頭痛、リンパ節の腫れ、おう吐を主症状とする細菌性の感染症で、冬期及び春</w:t>
      </w:r>
      <w:r>
        <w:rPr>
          <w:rFonts w:hint="eastAsia"/>
          <w:sz w:val="21"/>
        </w:rPr>
        <w:t>から初夏にかけて流行します。</w:t>
      </w:r>
    </w:p>
    <w:p w:rsidR="00274042" w:rsidRDefault="004D2271">
      <w:pPr>
        <w:rPr>
          <w:sz w:val="21"/>
        </w:rPr>
      </w:pPr>
      <w:r>
        <w:rPr>
          <w:rFonts w:hint="eastAsia"/>
          <w:sz w:val="21"/>
        </w:rPr>
        <w:t xml:space="preserve">　　熱は３～５日以内に下がり、１週間以内に症状は改善しますが、まれに重症化することがあります。</w:t>
      </w:r>
    </w:p>
    <w:p w:rsidR="00274042" w:rsidRDefault="00274042">
      <w:pPr>
        <w:rPr>
          <w:sz w:val="21"/>
        </w:rPr>
      </w:pPr>
    </w:p>
    <w:p w:rsidR="00274042" w:rsidRDefault="004D2271">
      <w:pPr>
        <w:rPr>
          <w:sz w:val="21"/>
        </w:rPr>
      </w:pPr>
      <w:r>
        <w:rPr>
          <w:rFonts w:hint="eastAsia"/>
          <w:sz w:val="21"/>
        </w:rPr>
        <w:t>３　その他</w:t>
      </w:r>
    </w:p>
    <w:p w:rsidR="00274042" w:rsidRDefault="004D2271">
      <w:pPr>
        <w:rPr>
          <w:sz w:val="21"/>
        </w:rPr>
      </w:pPr>
      <w:r>
        <w:rPr>
          <w:rFonts w:hint="eastAsia"/>
          <w:sz w:val="21"/>
        </w:rPr>
        <w:t>（１）最近５週における定点医療機関からのＡ群溶血性レンサ球菌咽頭炎患者報告状況</w:t>
      </w:r>
    </w:p>
    <w:p w:rsidR="00274042" w:rsidRDefault="004D2271">
      <w:pPr>
        <w:wordWrap w:val="0"/>
        <w:jc w:val="right"/>
        <w:rPr>
          <w:sz w:val="21"/>
        </w:rPr>
      </w:pPr>
      <w:r>
        <w:rPr>
          <w:rFonts w:hint="eastAsia"/>
          <w:sz w:val="21"/>
        </w:rPr>
        <w:t>（表示は「定点医療機関からの患者報告数（定点医療機関あたりの患者報告数）」単位</w:t>
      </w:r>
      <w:r>
        <w:rPr>
          <w:sz w:val="21"/>
        </w:rPr>
        <w:t>:</w:t>
      </w:r>
      <w:r>
        <w:rPr>
          <w:sz w:val="21"/>
        </w:rPr>
        <w:t>人）</w:t>
      </w:r>
    </w:p>
    <w:tbl>
      <w:tblPr>
        <w:tblW w:w="0" w:type="auto"/>
        <w:tblInd w:w="348" w:type="dxa"/>
        <w:tblLayout w:type="fixed"/>
        <w:tblCellMar>
          <w:left w:w="0" w:type="dxa"/>
          <w:right w:w="0" w:type="dxa"/>
        </w:tblCellMar>
        <w:tblLook w:val="0000" w:firstRow="0" w:lastRow="0" w:firstColumn="0" w:lastColumn="0" w:noHBand="0" w:noVBand="0"/>
      </w:tblPr>
      <w:tblGrid>
        <w:gridCol w:w="1201"/>
        <w:gridCol w:w="1600"/>
        <w:gridCol w:w="1600"/>
        <w:gridCol w:w="1600"/>
        <w:gridCol w:w="1600"/>
        <w:gridCol w:w="1600"/>
      </w:tblGrid>
      <w:tr w:rsidR="00274042">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274042">
            <w:pPr>
              <w:rPr>
                <w:sz w:val="21"/>
              </w:rPr>
            </w:pPr>
          </w:p>
          <w:p w:rsidR="00274042" w:rsidRDefault="00274042">
            <w:pPr>
              <w:rPr>
                <w:sz w:val="21"/>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jc w:val="center"/>
              <w:rPr>
                <w:color w:val="auto"/>
                <w:sz w:val="21"/>
              </w:rPr>
            </w:pPr>
            <w:r>
              <w:rPr>
                <w:rFonts w:hint="eastAsia"/>
                <w:color w:val="auto"/>
                <w:sz w:val="21"/>
              </w:rPr>
              <w:t>第</w:t>
            </w:r>
            <w:r>
              <w:rPr>
                <w:rFonts w:hint="eastAsia"/>
                <w:color w:val="auto"/>
                <w:sz w:val="21"/>
              </w:rPr>
              <w:t>1</w:t>
            </w:r>
            <w:r>
              <w:rPr>
                <w:rFonts w:hint="eastAsia"/>
                <w:color w:val="auto"/>
                <w:sz w:val="21"/>
              </w:rPr>
              <w:t>週</w:t>
            </w:r>
          </w:p>
          <w:p w:rsidR="00274042" w:rsidRDefault="004D2271">
            <w:pPr>
              <w:jc w:val="center"/>
              <w:rPr>
                <w:color w:val="auto"/>
                <w:sz w:val="21"/>
              </w:rPr>
            </w:pPr>
            <w:r>
              <w:rPr>
                <w:rFonts w:hint="eastAsia"/>
                <w:color w:val="auto"/>
                <w:sz w:val="21"/>
              </w:rPr>
              <w:t>(1/1</w:t>
            </w:r>
            <w:r>
              <w:rPr>
                <w:rFonts w:hint="eastAsia"/>
                <w:color w:val="auto"/>
                <w:sz w:val="21"/>
              </w:rPr>
              <w:t>～</w:t>
            </w:r>
            <w:r>
              <w:rPr>
                <w:rFonts w:hint="eastAsia"/>
                <w:color w:val="auto"/>
                <w:sz w:val="21"/>
              </w:rPr>
              <w:t>1/7)</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jc w:val="center"/>
              <w:rPr>
                <w:color w:val="auto"/>
                <w:sz w:val="21"/>
              </w:rPr>
            </w:pPr>
            <w:r>
              <w:rPr>
                <w:rFonts w:hint="eastAsia"/>
                <w:color w:val="auto"/>
                <w:sz w:val="21"/>
              </w:rPr>
              <w:t>第</w:t>
            </w:r>
            <w:r>
              <w:rPr>
                <w:rFonts w:hint="eastAsia"/>
                <w:color w:val="auto"/>
                <w:sz w:val="21"/>
              </w:rPr>
              <w:t>2</w:t>
            </w:r>
            <w:r>
              <w:rPr>
                <w:rFonts w:hint="eastAsia"/>
                <w:color w:val="auto"/>
                <w:sz w:val="21"/>
              </w:rPr>
              <w:t>週</w:t>
            </w:r>
          </w:p>
          <w:p w:rsidR="00274042" w:rsidRDefault="004D2271">
            <w:pPr>
              <w:jc w:val="center"/>
              <w:rPr>
                <w:color w:val="auto"/>
                <w:sz w:val="21"/>
              </w:rPr>
            </w:pPr>
            <w:r>
              <w:rPr>
                <w:rFonts w:hint="eastAsia"/>
                <w:color w:val="auto"/>
                <w:sz w:val="21"/>
              </w:rPr>
              <w:t>(1/8</w:t>
            </w:r>
            <w:r>
              <w:rPr>
                <w:rFonts w:hint="eastAsia"/>
                <w:color w:val="auto"/>
                <w:sz w:val="21"/>
              </w:rPr>
              <w:t>～</w:t>
            </w:r>
            <w:r>
              <w:rPr>
                <w:rFonts w:hint="eastAsia"/>
                <w:color w:val="auto"/>
                <w:sz w:val="21"/>
              </w:rPr>
              <w:t>1/14)</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jc w:val="center"/>
              <w:rPr>
                <w:color w:val="auto"/>
                <w:sz w:val="21"/>
              </w:rPr>
            </w:pPr>
            <w:r>
              <w:rPr>
                <w:rFonts w:hint="eastAsia"/>
                <w:color w:val="auto"/>
                <w:sz w:val="21"/>
              </w:rPr>
              <w:t>第</w:t>
            </w:r>
            <w:r>
              <w:rPr>
                <w:rFonts w:hint="eastAsia"/>
                <w:color w:val="auto"/>
                <w:sz w:val="21"/>
              </w:rPr>
              <w:t>3</w:t>
            </w:r>
            <w:r>
              <w:rPr>
                <w:rFonts w:hint="eastAsia"/>
                <w:color w:val="auto"/>
                <w:sz w:val="21"/>
              </w:rPr>
              <w:t>週</w:t>
            </w:r>
          </w:p>
          <w:p w:rsidR="00274042" w:rsidRDefault="004D2271">
            <w:pPr>
              <w:jc w:val="center"/>
              <w:rPr>
                <w:color w:val="auto"/>
                <w:sz w:val="21"/>
              </w:rPr>
            </w:pPr>
            <w:r>
              <w:rPr>
                <w:rFonts w:hint="eastAsia"/>
                <w:color w:val="auto"/>
                <w:sz w:val="21"/>
              </w:rPr>
              <w:t>(1/15</w:t>
            </w:r>
            <w:r>
              <w:rPr>
                <w:rFonts w:hint="eastAsia"/>
                <w:color w:val="auto"/>
                <w:sz w:val="21"/>
              </w:rPr>
              <w:t>～</w:t>
            </w:r>
            <w:r>
              <w:rPr>
                <w:rFonts w:hint="eastAsia"/>
                <w:color w:val="auto"/>
                <w:sz w:val="21"/>
              </w:rPr>
              <w:t>1/21)</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jc w:val="center"/>
              <w:rPr>
                <w:color w:val="auto"/>
                <w:sz w:val="21"/>
              </w:rPr>
            </w:pPr>
            <w:r>
              <w:rPr>
                <w:rFonts w:hint="eastAsia"/>
                <w:color w:val="auto"/>
                <w:sz w:val="21"/>
              </w:rPr>
              <w:t>第</w:t>
            </w:r>
            <w:r>
              <w:rPr>
                <w:rFonts w:hint="eastAsia"/>
                <w:color w:val="auto"/>
                <w:sz w:val="21"/>
              </w:rPr>
              <w:t>4</w:t>
            </w:r>
            <w:r>
              <w:rPr>
                <w:rFonts w:hint="eastAsia"/>
                <w:color w:val="auto"/>
                <w:sz w:val="21"/>
              </w:rPr>
              <w:t>週</w:t>
            </w:r>
          </w:p>
          <w:p w:rsidR="00274042" w:rsidRDefault="004D2271">
            <w:pPr>
              <w:jc w:val="center"/>
              <w:rPr>
                <w:color w:val="auto"/>
                <w:sz w:val="21"/>
              </w:rPr>
            </w:pPr>
            <w:r>
              <w:rPr>
                <w:rFonts w:hint="eastAsia"/>
                <w:color w:val="auto"/>
                <w:sz w:val="21"/>
              </w:rPr>
              <w:t>(1/22</w:t>
            </w:r>
            <w:r>
              <w:rPr>
                <w:rFonts w:hint="eastAsia"/>
                <w:color w:val="auto"/>
                <w:sz w:val="21"/>
              </w:rPr>
              <w:t>～</w:t>
            </w:r>
            <w:r>
              <w:rPr>
                <w:rFonts w:hint="eastAsia"/>
                <w:color w:val="auto"/>
                <w:sz w:val="21"/>
              </w:rPr>
              <w:t>1/28)</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jc w:val="center"/>
              <w:rPr>
                <w:color w:val="auto"/>
                <w:sz w:val="21"/>
              </w:rPr>
            </w:pPr>
            <w:r>
              <w:rPr>
                <w:rFonts w:hint="eastAsia"/>
                <w:color w:val="auto"/>
                <w:sz w:val="21"/>
              </w:rPr>
              <w:t>第</w:t>
            </w:r>
            <w:r>
              <w:rPr>
                <w:rFonts w:hint="eastAsia"/>
                <w:color w:val="auto"/>
                <w:sz w:val="21"/>
              </w:rPr>
              <w:t>5</w:t>
            </w:r>
            <w:r>
              <w:rPr>
                <w:rFonts w:hint="eastAsia"/>
                <w:color w:val="auto"/>
                <w:sz w:val="21"/>
              </w:rPr>
              <w:t>週</w:t>
            </w:r>
          </w:p>
          <w:p w:rsidR="00274042" w:rsidRDefault="004D2271">
            <w:pPr>
              <w:jc w:val="center"/>
              <w:rPr>
                <w:color w:val="auto"/>
                <w:sz w:val="21"/>
              </w:rPr>
            </w:pPr>
            <w:r>
              <w:rPr>
                <w:rFonts w:hint="eastAsia"/>
                <w:color w:val="auto"/>
                <w:sz w:val="21"/>
              </w:rPr>
              <w:t>(1/29</w:t>
            </w:r>
            <w:r>
              <w:rPr>
                <w:rFonts w:hint="eastAsia"/>
                <w:color w:val="auto"/>
                <w:sz w:val="21"/>
              </w:rPr>
              <w:t>～</w:t>
            </w:r>
            <w:r>
              <w:rPr>
                <w:rFonts w:hint="eastAsia"/>
                <w:color w:val="auto"/>
                <w:sz w:val="21"/>
              </w:rPr>
              <w:t>2/4)</w:t>
            </w:r>
            <w:r>
              <w:rPr>
                <w:rFonts w:hint="eastAsia"/>
                <w:color w:val="auto"/>
                <w:sz w:val="21"/>
              </w:rPr>
              <w:t>※</w:t>
            </w:r>
          </w:p>
        </w:tc>
      </w:tr>
      <w:tr w:rsidR="00274042">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jc w:val="center"/>
              <w:rPr>
                <w:sz w:val="21"/>
              </w:rPr>
            </w:pPr>
            <w:r>
              <w:rPr>
                <w:rFonts w:hint="eastAsia"/>
                <w:w w:val="80"/>
                <w:sz w:val="21"/>
              </w:rPr>
              <w:t>苫小牧保健所</w:t>
            </w:r>
          </w:p>
        </w:tc>
        <w:tc>
          <w:tcPr>
            <w:tcW w:w="1600" w:type="dxa"/>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274042" w:rsidRDefault="004D2271">
            <w:pPr>
              <w:widowControl/>
              <w:overflowPunct/>
              <w:jc w:val="right"/>
              <w:textAlignment w:val="auto"/>
              <w:rPr>
                <w:sz w:val="21"/>
              </w:rPr>
            </w:pPr>
            <w:r>
              <w:rPr>
                <w:rFonts w:hint="eastAsia"/>
                <w:sz w:val="21"/>
              </w:rPr>
              <w:t>6 (1</w:t>
            </w:r>
            <w:r>
              <w:rPr>
                <w:sz w:val="21"/>
              </w:rPr>
              <w:t>.</w:t>
            </w:r>
            <w:r>
              <w:rPr>
                <w:rFonts w:hint="eastAsia"/>
                <w:sz w:val="21"/>
              </w:rPr>
              <w:t>20)</w:t>
            </w:r>
          </w:p>
        </w:tc>
        <w:tc>
          <w:tcPr>
            <w:tcW w:w="1600" w:type="dxa"/>
            <w:tcBorders>
              <w:top w:val="single" w:sz="4" w:space="0" w:color="auto"/>
              <w:left w:val="nil"/>
              <w:bottom w:val="single" w:sz="4" w:space="0" w:color="auto"/>
              <w:right w:val="single" w:sz="4" w:space="0" w:color="auto"/>
            </w:tcBorders>
            <w:shd w:val="clear" w:color="auto" w:fill="auto"/>
            <w:tcMar>
              <w:left w:w="49" w:type="dxa"/>
              <w:right w:w="49" w:type="dxa"/>
            </w:tcMar>
            <w:vAlign w:val="center"/>
          </w:tcPr>
          <w:p w:rsidR="00274042" w:rsidRDefault="004D2271">
            <w:pPr>
              <w:jc w:val="right"/>
              <w:rPr>
                <w:sz w:val="21"/>
              </w:rPr>
            </w:pPr>
            <w:r>
              <w:rPr>
                <w:rFonts w:hint="eastAsia"/>
                <w:sz w:val="21"/>
              </w:rPr>
              <w:t xml:space="preserve">15 </w:t>
            </w:r>
            <w:r>
              <w:rPr>
                <w:rFonts w:hint="eastAsia"/>
                <w:sz w:val="21"/>
              </w:rPr>
              <w:t>(3.00)</w:t>
            </w:r>
          </w:p>
        </w:tc>
        <w:tc>
          <w:tcPr>
            <w:tcW w:w="1600" w:type="dxa"/>
            <w:tcBorders>
              <w:top w:val="single" w:sz="4" w:space="0" w:color="auto"/>
              <w:left w:val="nil"/>
              <w:bottom w:val="single" w:sz="4" w:space="0" w:color="auto"/>
              <w:right w:val="single" w:sz="4" w:space="0" w:color="auto"/>
            </w:tcBorders>
            <w:shd w:val="clear" w:color="auto" w:fill="auto"/>
            <w:tcMar>
              <w:left w:w="49" w:type="dxa"/>
              <w:right w:w="49" w:type="dxa"/>
            </w:tcMar>
            <w:vAlign w:val="center"/>
          </w:tcPr>
          <w:p w:rsidR="00274042" w:rsidRDefault="004D2271">
            <w:pPr>
              <w:jc w:val="right"/>
              <w:rPr>
                <w:sz w:val="21"/>
              </w:rPr>
            </w:pPr>
            <w:r>
              <w:rPr>
                <w:rFonts w:hint="eastAsia"/>
                <w:sz w:val="21"/>
              </w:rPr>
              <w:t>34 (6.80)</w:t>
            </w:r>
          </w:p>
        </w:tc>
        <w:tc>
          <w:tcPr>
            <w:tcW w:w="1600" w:type="dxa"/>
            <w:tcBorders>
              <w:top w:val="single" w:sz="4" w:space="0" w:color="auto"/>
              <w:left w:val="nil"/>
              <w:bottom w:val="single" w:sz="4" w:space="0" w:color="auto"/>
              <w:right w:val="single" w:sz="4" w:space="0" w:color="auto"/>
            </w:tcBorders>
            <w:shd w:val="clear" w:color="auto" w:fill="auto"/>
            <w:tcMar>
              <w:left w:w="49" w:type="dxa"/>
              <w:right w:w="49" w:type="dxa"/>
            </w:tcMar>
            <w:vAlign w:val="center"/>
          </w:tcPr>
          <w:p w:rsidR="00274042" w:rsidRDefault="004D2271">
            <w:pPr>
              <w:jc w:val="right"/>
              <w:rPr>
                <w:sz w:val="21"/>
              </w:rPr>
            </w:pPr>
            <w:r>
              <w:rPr>
                <w:rFonts w:hint="eastAsia"/>
                <w:sz w:val="21"/>
              </w:rPr>
              <w:t>39 (7.80)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74042" w:rsidRDefault="004D2271">
            <w:pPr>
              <w:wordWrap w:val="0"/>
              <w:jc w:val="right"/>
              <w:rPr>
                <w:sz w:val="21"/>
              </w:rPr>
            </w:pPr>
            <w:r>
              <w:rPr>
                <w:rFonts w:hint="eastAsia"/>
                <w:sz w:val="21"/>
              </w:rPr>
              <w:t xml:space="preserve"> 57</w:t>
            </w:r>
            <w:r>
              <w:rPr>
                <w:sz w:val="21"/>
              </w:rPr>
              <w:t xml:space="preserve"> </w:t>
            </w:r>
            <w:r>
              <w:rPr>
                <w:rFonts w:hint="eastAsia"/>
                <w:sz w:val="21"/>
              </w:rPr>
              <w:t>(11.40)</w:t>
            </w:r>
          </w:p>
        </w:tc>
      </w:tr>
      <w:tr w:rsidR="00274042">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jc w:val="center"/>
              <w:rPr>
                <w:sz w:val="21"/>
              </w:rPr>
            </w:pPr>
            <w:r>
              <w:rPr>
                <w:rFonts w:hint="eastAsia"/>
                <w:sz w:val="21"/>
              </w:rPr>
              <w:t>全　道</w:t>
            </w:r>
          </w:p>
        </w:tc>
        <w:tc>
          <w:tcPr>
            <w:tcW w:w="1600" w:type="dxa"/>
            <w:tcBorders>
              <w:top w:val="nil"/>
              <w:left w:val="single" w:sz="4" w:space="0" w:color="auto"/>
              <w:bottom w:val="single" w:sz="4" w:space="0" w:color="auto"/>
              <w:right w:val="single" w:sz="4" w:space="0" w:color="auto"/>
            </w:tcBorders>
            <w:shd w:val="clear" w:color="auto" w:fill="auto"/>
            <w:tcMar>
              <w:left w:w="49" w:type="dxa"/>
              <w:right w:w="49" w:type="dxa"/>
            </w:tcMar>
            <w:vAlign w:val="center"/>
          </w:tcPr>
          <w:p w:rsidR="00274042" w:rsidRDefault="004D2271">
            <w:pPr>
              <w:widowControl/>
              <w:overflowPunct/>
              <w:jc w:val="right"/>
              <w:textAlignment w:val="auto"/>
              <w:rPr>
                <w:sz w:val="21"/>
              </w:rPr>
            </w:pPr>
            <w:r>
              <w:rPr>
                <w:rFonts w:hint="eastAsia"/>
                <w:sz w:val="21"/>
              </w:rPr>
              <w:t>447 (3.34)</w:t>
            </w:r>
          </w:p>
        </w:tc>
        <w:tc>
          <w:tcPr>
            <w:tcW w:w="1600" w:type="dxa"/>
            <w:tcBorders>
              <w:top w:val="nil"/>
              <w:left w:val="nil"/>
              <w:bottom w:val="single" w:sz="4" w:space="0" w:color="auto"/>
              <w:right w:val="single" w:sz="4" w:space="0" w:color="auto"/>
            </w:tcBorders>
            <w:shd w:val="clear" w:color="auto" w:fill="auto"/>
            <w:tcMar>
              <w:left w:w="49" w:type="dxa"/>
              <w:right w:w="49" w:type="dxa"/>
            </w:tcMar>
            <w:vAlign w:val="center"/>
          </w:tcPr>
          <w:p w:rsidR="00274042" w:rsidRDefault="004D2271">
            <w:pPr>
              <w:jc w:val="right"/>
              <w:rPr>
                <w:sz w:val="21"/>
              </w:rPr>
            </w:pPr>
            <w:r>
              <w:rPr>
                <w:rFonts w:hint="eastAsia"/>
                <w:sz w:val="21"/>
              </w:rPr>
              <w:t>584 (4.20)</w:t>
            </w:r>
          </w:p>
        </w:tc>
        <w:tc>
          <w:tcPr>
            <w:tcW w:w="1600" w:type="dxa"/>
            <w:tcBorders>
              <w:top w:val="nil"/>
              <w:left w:val="nil"/>
              <w:bottom w:val="single" w:sz="4" w:space="0" w:color="auto"/>
              <w:right w:val="single" w:sz="4" w:space="0" w:color="auto"/>
            </w:tcBorders>
            <w:shd w:val="clear" w:color="auto" w:fill="auto"/>
            <w:tcMar>
              <w:left w:w="49" w:type="dxa"/>
              <w:right w:w="49" w:type="dxa"/>
            </w:tcMar>
            <w:vAlign w:val="center"/>
          </w:tcPr>
          <w:p w:rsidR="00274042" w:rsidRDefault="004D2271">
            <w:pPr>
              <w:jc w:val="right"/>
              <w:rPr>
                <w:sz w:val="21"/>
              </w:rPr>
            </w:pPr>
            <w:r>
              <w:rPr>
                <w:rFonts w:hint="eastAsia"/>
                <w:sz w:val="21"/>
              </w:rPr>
              <w:t>872 (6.27)</w:t>
            </w:r>
          </w:p>
        </w:tc>
        <w:tc>
          <w:tcPr>
            <w:tcW w:w="1600" w:type="dxa"/>
            <w:tcBorders>
              <w:top w:val="nil"/>
              <w:left w:val="nil"/>
              <w:bottom w:val="single" w:sz="4" w:space="0" w:color="auto"/>
              <w:right w:val="single" w:sz="4" w:space="0" w:color="auto"/>
            </w:tcBorders>
            <w:shd w:val="clear" w:color="auto" w:fill="auto"/>
            <w:tcMar>
              <w:left w:w="49" w:type="dxa"/>
              <w:right w:w="49" w:type="dxa"/>
            </w:tcMar>
            <w:vAlign w:val="center"/>
          </w:tcPr>
          <w:p w:rsidR="00274042" w:rsidRDefault="004D2271">
            <w:pPr>
              <w:jc w:val="right"/>
              <w:rPr>
                <w:sz w:val="21"/>
              </w:rPr>
            </w:pPr>
            <w:r>
              <w:rPr>
                <w:rFonts w:hint="eastAsia"/>
                <w:sz w:val="21"/>
              </w:rPr>
              <w:t>1,101 (7.92)</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74042" w:rsidRDefault="004D2271">
            <w:pPr>
              <w:wordWrap w:val="0"/>
              <w:jc w:val="right"/>
              <w:rPr>
                <w:sz w:val="21"/>
              </w:rPr>
            </w:pPr>
            <w:r>
              <w:rPr>
                <w:rFonts w:hint="eastAsia"/>
                <w:sz w:val="21"/>
              </w:rPr>
              <w:t xml:space="preserve">- </w:t>
            </w:r>
            <w:r>
              <w:rPr>
                <w:sz w:val="21"/>
              </w:rPr>
              <w:t xml:space="preserve"> </w:t>
            </w:r>
            <w:r>
              <w:rPr>
                <w:rFonts w:hint="eastAsia"/>
                <w:sz w:val="21"/>
              </w:rPr>
              <w:t>(</w:t>
            </w:r>
            <w:r>
              <w:rPr>
                <w:sz w:val="21"/>
              </w:rPr>
              <w:t xml:space="preserve"> </w:t>
            </w:r>
            <w:r>
              <w:rPr>
                <w:rFonts w:hint="eastAsia"/>
                <w:sz w:val="21"/>
              </w:rPr>
              <w:t xml:space="preserve"> -  )</w:t>
            </w:r>
          </w:p>
        </w:tc>
      </w:tr>
      <w:tr w:rsidR="00274042">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jc w:val="center"/>
              <w:rPr>
                <w:sz w:val="21"/>
              </w:rPr>
            </w:pPr>
            <w:r>
              <w:rPr>
                <w:rFonts w:hint="eastAsia"/>
                <w:sz w:val="21"/>
              </w:rPr>
              <w:t>全　国</w:t>
            </w:r>
          </w:p>
        </w:tc>
        <w:tc>
          <w:tcPr>
            <w:tcW w:w="1600" w:type="dxa"/>
            <w:tcBorders>
              <w:top w:val="nil"/>
              <w:left w:val="single" w:sz="4" w:space="0" w:color="auto"/>
              <w:bottom w:val="single" w:sz="4" w:space="0" w:color="auto"/>
              <w:right w:val="single" w:sz="4" w:space="0" w:color="auto"/>
            </w:tcBorders>
            <w:shd w:val="clear" w:color="auto" w:fill="auto"/>
            <w:tcMar>
              <w:left w:w="49" w:type="dxa"/>
              <w:right w:w="49" w:type="dxa"/>
            </w:tcMar>
            <w:vAlign w:val="center"/>
          </w:tcPr>
          <w:p w:rsidR="00274042" w:rsidRDefault="004D2271">
            <w:pPr>
              <w:widowControl/>
              <w:overflowPunct/>
              <w:jc w:val="right"/>
              <w:textAlignment w:val="auto"/>
              <w:rPr>
                <w:sz w:val="21"/>
              </w:rPr>
            </w:pPr>
            <w:r>
              <w:rPr>
                <w:rFonts w:hint="eastAsia"/>
                <w:sz w:val="21"/>
              </w:rPr>
              <w:t>5,395</w:t>
            </w:r>
            <w:r>
              <w:rPr>
                <w:sz w:val="21"/>
              </w:rPr>
              <w:t xml:space="preserve"> </w:t>
            </w:r>
            <w:r>
              <w:rPr>
                <w:rFonts w:hint="eastAsia"/>
                <w:sz w:val="21"/>
              </w:rPr>
              <w:t>(1.74)</w:t>
            </w:r>
          </w:p>
        </w:tc>
        <w:tc>
          <w:tcPr>
            <w:tcW w:w="1600" w:type="dxa"/>
            <w:tcBorders>
              <w:top w:val="nil"/>
              <w:left w:val="nil"/>
              <w:bottom w:val="single" w:sz="4" w:space="0" w:color="auto"/>
              <w:right w:val="single" w:sz="4" w:space="0" w:color="auto"/>
            </w:tcBorders>
            <w:shd w:val="clear" w:color="auto" w:fill="auto"/>
            <w:tcMar>
              <w:left w:w="49" w:type="dxa"/>
              <w:right w:w="49" w:type="dxa"/>
            </w:tcMar>
            <w:vAlign w:val="center"/>
          </w:tcPr>
          <w:p w:rsidR="00274042" w:rsidRDefault="004D2271">
            <w:pPr>
              <w:jc w:val="right"/>
              <w:rPr>
                <w:sz w:val="21"/>
              </w:rPr>
            </w:pPr>
            <w:r>
              <w:rPr>
                <w:rFonts w:hint="eastAsia"/>
                <w:sz w:val="21"/>
              </w:rPr>
              <w:t>8,866</w:t>
            </w:r>
            <w:r>
              <w:rPr>
                <w:sz w:val="21"/>
              </w:rPr>
              <w:t xml:space="preserve"> </w:t>
            </w:r>
            <w:r>
              <w:rPr>
                <w:rFonts w:hint="eastAsia"/>
                <w:sz w:val="21"/>
              </w:rPr>
              <w:t>(2.83)</w:t>
            </w:r>
          </w:p>
        </w:tc>
        <w:tc>
          <w:tcPr>
            <w:tcW w:w="1600" w:type="dxa"/>
            <w:tcBorders>
              <w:top w:val="nil"/>
              <w:left w:val="nil"/>
              <w:bottom w:val="single" w:sz="4" w:space="0" w:color="auto"/>
              <w:right w:val="single" w:sz="4" w:space="0" w:color="auto"/>
            </w:tcBorders>
            <w:shd w:val="clear" w:color="auto" w:fill="auto"/>
            <w:tcMar>
              <w:left w:w="49" w:type="dxa"/>
              <w:right w:w="49" w:type="dxa"/>
            </w:tcMar>
            <w:vAlign w:val="center"/>
          </w:tcPr>
          <w:p w:rsidR="00274042" w:rsidRDefault="004D2271">
            <w:pPr>
              <w:jc w:val="right"/>
              <w:rPr>
                <w:sz w:val="21"/>
              </w:rPr>
            </w:pPr>
            <w:r>
              <w:rPr>
                <w:rFonts w:hint="eastAsia"/>
                <w:sz w:val="21"/>
              </w:rPr>
              <w:t>13,382 (4.28)</w:t>
            </w:r>
          </w:p>
        </w:tc>
        <w:tc>
          <w:tcPr>
            <w:tcW w:w="1600" w:type="dxa"/>
            <w:tcBorders>
              <w:top w:val="nil"/>
              <w:left w:val="nil"/>
              <w:bottom w:val="single" w:sz="4" w:space="0" w:color="auto"/>
              <w:right w:val="single" w:sz="4" w:space="0" w:color="auto"/>
            </w:tcBorders>
            <w:shd w:val="clear" w:color="auto" w:fill="auto"/>
            <w:tcMar>
              <w:left w:w="49" w:type="dxa"/>
              <w:right w:w="49" w:type="dxa"/>
            </w:tcMar>
            <w:vAlign w:val="center"/>
          </w:tcPr>
          <w:p w:rsidR="00274042" w:rsidRDefault="004D2271">
            <w:pPr>
              <w:jc w:val="right"/>
              <w:rPr>
                <w:sz w:val="21"/>
              </w:rPr>
            </w:pPr>
            <w:r>
              <w:rPr>
                <w:rFonts w:hint="eastAsia"/>
                <w:sz w:val="21"/>
              </w:rPr>
              <w:t>13,617 (4.35)</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wordWrap w:val="0"/>
              <w:jc w:val="right"/>
              <w:rPr>
                <w:sz w:val="21"/>
              </w:rPr>
            </w:pPr>
            <w:r>
              <w:rPr>
                <w:rFonts w:hint="eastAsia"/>
                <w:sz w:val="21"/>
              </w:rPr>
              <w:t>-  (  -  )</w:t>
            </w:r>
          </w:p>
        </w:tc>
      </w:tr>
    </w:tbl>
    <w:p w:rsidR="00274042" w:rsidRDefault="004D2271">
      <w:pPr>
        <w:ind w:left="211" w:hangingChars="100" w:hanging="211"/>
        <w:rPr>
          <w:sz w:val="21"/>
        </w:rPr>
      </w:pPr>
      <w:r>
        <w:rPr>
          <w:rFonts w:hint="eastAsia"/>
          <w:sz w:val="21"/>
        </w:rPr>
        <w:t xml:space="preserve">　　※第５週の患者報告数は速報値</w:t>
      </w:r>
    </w:p>
    <w:p w:rsidR="00274042" w:rsidRDefault="00274042">
      <w:pPr>
        <w:ind w:left="211" w:hangingChars="100" w:hanging="211"/>
        <w:rPr>
          <w:sz w:val="21"/>
        </w:rPr>
      </w:pPr>
    </w:p>
    <w:p w:rsidR="00274042" w:rsidRDefault="004D2271">
      <w:pPr>
        <w:rPr>
          <w:sz w:val="21"/>
        </w:rPr>
      </w:pPr>
      <w:r>
        <w:rPr>
          <w:rFonts w:hint="eastAsia"/>
          <w:sz w:val="21"/>
        </w:rPr>
        <w:t>（２）Ａ群溶血性レンサ球菌咽頭炎警報とは</w:t>
      </w:r>
    </w:p>
    <w:p w:rsidR="00274042" w:rsidRDefault="004D2271">
      <w:pPr>
        <w:ind w:left="422" w:hangingChars="200" w:hanging="422"/>
        <w:rPr>
          <w:sz w:val="21"/>
        </w:rPr>
      </w:pPr>
      <w:r>
        <w:rPr>
          <w:rFonts w:hint="eastAsia"/>
          <w:sz w:val="21"/>
        </w:rPr>
        <w:t xml:space="preserve">　　</w:t>
      </w:r>
      <w:r>
        <w:rPr>
          <w:rFonts w:hint="eastAsia"/>
          <w:sz w:val="21"/>
        </w:rPr>
        <w:t xml:space="preserve">  </w:t>
      </w:r>
      <w:r>
        <w:rPr>
          <w:rFonts w:hint="eastAsia"/>
          <w:sz w:val="21"/>
        </w:rPr>
        <w:t>厚生労働省の感染症発生動向調査により把握した、苫小牧保健所管内の小児科定点医療機関を受診したＡ群溶血性レンサ球菌咽頭炎患者数が、国立感染症研究所において設定した警報レベルの基準値に達したときに発令し、大きな流行の発生や継続が疑われることを示しています。</w:t>
      </w:r>
    </w:p>
    <w:p w:rsidR="00274042" w:rsidRDefault="004D2271">
      <w:pPr>
        <w:rPr>
          <w:sz w:val="21"/>
        </w:rPr>
      </w:pPr>
      <w:r>
        <w:rPr>
          <w:rFonts w:hint="eastAsia"/>
          <w:sz w:val="21"/>
        </w:rPr>
        <w:t xml:space="preserve">　　＜Ａ群溶血性レンサ球菌咽頭炎の警報レベル＞</w:t>
      </w:r>
    </w:p>
    <w:tbl>
      <w:tblPr>
        <w:tblW w:w="0" w:type="auto"/>
        <w:tblInd w:w="499" w:type="dxa"/>
        <w:tblLayout w:type="fixed"/>
        <w:tblCellMar>
          <w:left w:w="0" w:type="dxa"/>
          <w:right w:w="0" w:type="dxa"/>
        </w:tblCellMar>
        <w:tblLook w:val="0000" w:firstRow="0" w:lastRow="0" w:firstColumn="0" w:lastColumn="0" w:noHBand="0" w:noVBand="0"/>
      </w:tblPr>
      <w:tblGrid>
        <w:gridCol w:w="2400"/>
        <w:gridCol w:w="1500"/>
        <w:gridCol w:w="1500"/>
      </w:tblGrid>
      <w:tr w:rsidR="0027404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274042">
            <w:pPr>
              <w:rPr>
                <w:sz w:val="21"/>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rPr>
                <w:sz w:val="21"/>
              </w:rPr>
            </w:pPr>
            <w:r>
              <w:rPr>
                <w:rFonts w:hint="eastAsia"/>
                <w:sz w:val="21"/>
              </w:rPr>
              <w:t xml:space="preserve">  </w:t>
            </w:r>
            <w:r>
              <w:rPr>
                <w:rFonts w:hint="eastAsia"/>
                <w:sz w:val="21"/>
              </w:rPr>
              <w:t>開始基準値</w:t>
            </w:r>
            <w:r>
              <w:rPr>
                <w:rFonts w:hint="eastAsia"/>
                <w:sz w:val="21"/>
              </w:rPr>
              <w:t xml:space="preserve">  </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rPr>
                <w:sz w:val="21"/>
              </w:rPr>
            </w:pPr>
            <w:r>
              <w:rPr>
                <w:rFonts w:hint="eastAsia"/>
                <w:sz w:val="21"/>
              </w:rPr>
              <w:t xml:space="preserve">  </w:t>
            </w:r>
            <w:r>
              <w:rPr>
                <w:rFonts w:hint="eastAsia"/>
                <w:sz w:val="21"/>
              </w:rPr>
              <w:t>終息基準値</w:t>
            </w:r>
            <w:r>
              <w:rPr>
                <w:rFonts w:hint="eastAsia"/>
                <w:sz w:val="21"/>
              </w:rPr>
              <w:t xml:space="preserve">  </w:t>
            </w:r>
          </w:p>
        </w:tc>
      </w:tr>
      <w:tr w:rsidR="0027404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rPr>
                <w:sz w:val="21"/>
              </w:rPr>
            </w:pPr>
            <w:r>
              <w:rPr>
                <w:rFonts w:hint="eastAsia"/>
                <w:sz w:val="21"/>
              </w:rPr>
              <w:t>定点あたり患者数（人）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rPr>
                <w:sz w:val="21"/>
              </w:rPr>
            </w:pPr>
            <w:r>
              <w:rPr>
                <w:rFonts w:hint="eastAsia"/>
                <w:sz w:val="21"/>
              </w:rPr>
              <w:t xml:space="preserve">      </w:t>
            </w:r>
            <w:r>
              <w:rPr>
                <w:rFonts w:hint="eastAsia"/>
                <w:sz w:val="21"/>
              </w:rPr>
              <w:t>８</w:t>
            </w:r>
            <w:r>
              <w:rPr>
                <w:rFonts w:hint="eastAsia"/>
                <w:sz w:val="21"/>
              </w:rPr>
              <w:t xml:space="preserve">      </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4042" w:rsidRDefault="004D2271">
            <w:pPr>
              <w:rPr>
                <w:sz w:val="21"/>
              </w:rPr>
            </w:pPr>
            <w:r>
              <w:rPr>
                <w:rFonts w:hint="eastAsia"/>
                <w:sz w:val="21"/>
              </w:rPr>
              <w:t xml:space="preserve">      </w:t>
            </w:r>
            <w:r>
              <w:rPr>
                <w:rFonts w:hint="eastAsia"/>
                <w:sz w:val="21"/>
              </w:rPr>
              <w:t>４</w:t>
            </w:r>
            <w:r>
              <w:rPr>
                <w:rFonts w:hint="eastAsia"/>
                <w:sz w:val="21"/>
              </w:rPr>
              <w:t xml:space="preserve">      </w:t>
            </w:r>
          </w:p>
        </w:tc>
      </w:tr>
    </w:tbl>
    <w:p w:rsidR="00274042" w:rsidRDefault="00274042"/>
    <w:sectPr w:rsidR="00274042">
      <w:footnotePr>
        <w:numRestart w:val="eachPage"/>
      </w:footnotePr>
      <w:endnotePr>
        <w:numFmt w:val="decimal"/>
      </w:endnotePr>
      <w:pgSz w:w="11906" w:h="16838"/>
      <w:pgMar w:top="1417" w:right="1134" w:bottom="850" w:left="1134" w:header="1134" w:footer="0" w:gutter="0"/>
      <w:cols w:space="720"/>
      <w:docGrid w:type="linesAndChars" w:linePitch="331"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2271">
      <w:r>
        <w:separator/>
      </w:r>
    </w:p>
  </w:endnote>
  <w:endnote w:type="continuationSeparator" w:id="0">
    <w:p w:rsidR="00000000" w:rsidRDefault="004D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2271">
      <w:r>
        <w:separator/>
      </w:r>
    </w:p>
  </w:footnote>
  <w:footnote w:type="continuationSeparator" w:id="0">
    <w:p w:rsidR="00000000" w:rsidRDefault="004D2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3"/>
  <w:hyphenationZone w:val="0"/>
  <w:drawingGridHorizontalSpacing w:val="353"/>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42"/>
    <w:rsid w:val="00274042"/>
    <w:rsid w:val="004D2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F42882"/>
  <w15:chartTrackingRefBased/>
  <w15:docId w15:val="{056DB620-E01D-4153-9B99-CB88DC9A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color w:val="000000"/>
    </w:rPr>
  </w:style>
  <w:style w:type="paragraph" w:styleId="aa">
    <w:name w:val="annotation subject"/>
    <w:basedOn w:val="a8"/>
    <w:next w:val="a8"/>
    <w:link w:val="ab"/>
    <w:semiHidden/>
    <w:rPr>
      <w:b/>
    </w:rPr>
  </w:style>
  <w:style w:type="character" w:customStyle="1" w:styleId="ab">
    <w:name w:val="コメント内容 (文字)"/>
    <w:basedOn w:val="a9"/>
    <w:link w:val="aa"/>
    <w:rPr>
      <w:b/>
      <w:color w:val="000000"/>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925</Words>
  <Characters>367</Characters>
  <Application>Microsoft Office Word</Application>
  <DocSecurity>0</DocSecurity>
  <Lines>3</Lines>
  <Paragraphs>2</Paragraphs>
  <ScaleCrop>false</ScaleCrop>
  <Company>北海道</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保健予防課</dc:creator>
  <cp:lastModifiedBy>user</cp:lastModifiedBy>
  <cp:revision>22</cp:revision>
  <cp:lastPrinted>2024-02-06T08:11:00Z</cp:lastPrinted>
  <dcterms:created xsi:type="dcterms:W3CDTF">2023-10-10T06:21:00Z</dcterms:created>
  <dcterms:modified xsi:type="dcterms:W3CDTF">2024-02-07T08:23:00Z</dcterms:modified>
</cp:coreProperties>
</file>